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6888"/>
      </w:tblGrid>
      <w:tr w:rsidR="00577FE4" w:rsidTr="004C501B">
        <w:tc>
          <w:tcPr>
            <w:tcW w:w="15388" w:type="dxa"/>
            <w:gridSpan w:val="2"/>
          </w:tcPr>
          <w:p w:rsidR="00577FE4" w:rsidRPr="003E5A38" w:rsidRDefault="00577FE4" w:rsidP="009F03E0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b/>
                <w:bCs/>
                <w:sz w:val="20"/>
                <w:szCs w:val="20"/>
              </w:rPr>
              <w:t>Health and</w:t>
            </w:r>
            <w:r w:rsidR="00601707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Social Care – background information to what will be covered in </w:t>
            </w:r>
            <w:r w:rsidRPr="003E5A38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: </w:t>
            </w:r>
            <w:r w:rsidR="009F03E0" w:rsidRPr="003E5A38">
              <w:rPr>
                <w:rFonts w:ascii="Comic Sans MS" w:hAnsi="Comic Sans MS" w:cs="Arial"/>
                <w:b/>
                <w:bCs/>
                <w:sz w:val="20"/>
                <w:szCs w:val="20"/>
              </w:rPr>
              <w:t>Component 2 Health and Social Care Services and Values</w:t>
            </w:r>
          </w:p>
        </w:tc>
      </w:tr>
      <w:tr w:rsidR="00870172" w:rsidRPr="00577FE4" w:rsidTr="003E5A38">
        <w:trPr>
          <w:trHeight w:val="555"/>
        </w:trPr>
        <w:tc>
          <w:tcPr>
            <w:tcW w:w="8500" w:type="dxa"/>
          </w:tcPr>
          <w:p w:rsidR="00870172" w:rsidRPr="003E5A38" w:rsidRDefault="006A24BC" w:rsidP="003E5A3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b/>
                <w:bCs/>
                <w:sz w:val="20"/>
                <w:szCs w:val="20"/>
              </w:rPr>
              <w:t>Learning Aim A</w:t>
            </w:r>
            <w:r w:rsidR="00870172" w:rsidRPr="003E5A38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: </w:t>
            </w:r>
            <w:r w:rsidR="009F03E0" w:rsidRPr="003E5A38">
              <w:rPr>
                <w:rFonts w:ascii="Comic Sans MS" w:hAnsi="Comic Sans MS" w:cs="Verdana"/>
                <w:b/>
                <w:bCs/>
                <w:sz w:val="20"/>
                <w:szCs w:val="20"/>
              </w:rPr>
              <w:t>Understand the different types of health and social care services and barriers to accessing them</w:t>
            </w:r>
          </w:p>
        </w:tc>
        <w:tc>
          <w:tcPr>
            <w:tcW w:w="6888" w:type="dxa"/>
          </w:tcPr>
          <w:p w:rsidR="005017FB" w:rsidRPr="003E5A38" w:rsidRDefault="005E0542" w:rsidP="009F03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Learning </w:t>
            </w:r>
            <w:r w:rsidR="006A24BC" w:rsidRPr="003E5A38">
              <w:rPr>
                <w:rFonts w:ascii="Comic Sans MS" w:hAnsi="Comic Sans MS" w:cs="Arial"/>
                <w:b/>
                <w:bCs/>
                <w:sz w:val="20"/>
                <w:szCs w:val="20"/>
              </w:rPr>
              <w:t>Aim B</w:t>
            </w:r>
            <w:r w:rsidRPr="003E5A38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: </w:t>
            </w:r>
            <w:r w:rsidR="009F03E0" w:rsidRPr="003E5A38">
              <w:rPr>
                <w:rFonts w:ascii="Comic Sans MS" w:hAnsi="Comic Sans MS" w:cs="Verdana"/>
                <w:b/>
                <w:bCs/>
                <w:sz w:val="20"/>
                <w:szCs w:val="20"/>
              </w:rPr>
              <w:t>Demonstrate care values and review own practice</w:t>
            </w:r>
          </w:p>
        </w:tc>
      </w:tr>
      <w:tr w:rsidR="00A00105" w:rsidRPr="00577FE4" w:rsidTr="00A00105">
        <w:trPr>
          <w:trHeight w:val="695"/>
        </w:trPr>
        <w:tc>
          <w:tcPr>
            <w:tcW w:w="15388" w:type="dxa"/>
            <w:gridSpan w:val="2"/>
          </w:tcPr>
          <w:p w:rsidR="00A00105" w:rsidRPr="003E5A38" w:rsidRDefault="009F03E0" w:rsidP="005017FB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i/>
                <w:iCs/>
                <w:sz w:val="20"/>
                <w:szCs w:val="20"/>
              </w:rPr>
            </w:pPr>
            <w:r w:rsidRPr="003E5A38">
              <w:rPr>
                <w:rFonts w:ascii="Comic Sans MS" w:hAnsi="Comic Sans MS" w:cs="Verdana"/>
                <w:i/>
                <w:iCs/>
                <w:sz w:val="20"/>
                <w:szCs w:val="20"/>
              </w:rPr>
              <w:t>Providing good health and social care services is very important and a set of ‘care values’ exist to ensure this happens. Care values are important because they enable people who use health and social care services</w:t>
            </w:r>
            <w:r w:rsidR="00E70570" w:rsidRPr="003E5A38">
              <w:rPr>
                <w:rFonts w:ascii="Comic Sans MS" w:hAnsi="Comic Sans MS" w:cs="Verdana"/>
                <w:i/>
                <w:iCs/>
                <w:sz w:val="20"/>
                <w:szCs w:val="20"/>
              </w:rPr>
              <w:t xml:space="preserve"> to get the care they need and to be protected from different sorts of harm.</w:t>
            </w:r>
          </w:p>
        </w:tc>
      </w:tr>
      <w:tr w:rsidR="00A00105" w:rsidRPr="00577FE4" w:rsidTr="00645031">
        <w:trPr>
          <w:trHeight w:val="1528"/>
        </w:trPr>
        <w:tc>
          <w:tcPr>
            <w:tcW w:w="8500" w:type="dxa"/>
          </w:tcPr>
          <w:p w:rsidR="00A00105" w:rsidRPr="003E5A38" w:rsidRDefault="00E70570" w:rsidP="00A0010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  <w:r w:rsidRPr="003E5A38"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>Health and social care services</w:t>
            </w:r>
          </w:p>
          <w:p w:rsidR="00A00105" w:rsidRPr="003E5A38" w:rsidRDefault="00E70570" w:rsidP="003E5A3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4" w:hanging="283"/>
              <w:rPr>
                <w:rFonts w:ascii="Comic Sans MS" w:hAnsi="Comic Sans MS" w:cs="Verdana"/>
                <w:b/>
                <w:bCs/>
                <w:sz w:val="20"/>
                <w:szCs w:val="20"/>
              </w:rPr>
            </w:pPr>
            <w:r w:rsidRPr="003E5A38">
              <w:rPr>
                <w:rFonts w:ascii="Comic Sans MS" w:hAnsi="Comic Sans MS" w:cs="Verdana"/>
                <w:b/>
                <w:bCs/>
                <w:sz w:val="20"/>
                <w:szCs w:val="20"/>
              </w:rPr>
              <w:t>Different health care services and how they meet service user needs</w:t>
            </w:r>
          </w:p>
          <w:p w:rsidR="00E70570" w:rsidRPr="003E5A38" w:rsidRDefault="00E70570" w:rsidP="003E5A38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880" w:hanging="284"/>
              <w:rPr>
                <w:rFonts w:ascii="Comic Sans MS" w:hAnsi="Comic Sans MS" w:cs="Verdana"/>
                <w:sz w:val="20"/>
                <w:szCs w:val="20"/>
              </w:rPr>
            </w:pPr>
            <w:r w:rsidRPr="003E5A38">
              <w:rPr>
                <w:rFonts w:ascii="Comic Sans MS" w:hAnsi="Comic Sans MS" w:cs="Verdana"/>
                <w:sz w:val="20"/>
                <w:szCs w:val="20"/>
                <w:u w:val="single"/>
              </w:rPr>
              <w:t>Primary care</w:t>
            </w:r>
            <w:r w:rsidRPr="003E5A38">
              <w:rPr>
                <w:rFonts w:ascii="Comic Sans MS" w:hAnsi="Comic Sans MS" w:cs="Verdana"/>
                <w:sz w:val="20"/>
                <w:szCs w:val="20"/>
              </w:rPr>
              <w:t>, e.g. dental care, optometry, community health care</w:t>
            </w:r>
          </w:p>
          <w:p w:rsidR="00E70570" w:rsidRPr="003E5A38" w:rsidRDefault="00E70570" w:rsidP="003E5A38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880" w:hanging="284"/>
              <w:rPr>
                <w:rFonts w:ascii="Comic Sans MS" w:hAnsi="Comic Sans MS" w:cs="Verdana"/>
                <w:sz w:val="20"/>
                <w:szCs w:val="20"/>
              </w:rPr>
            </w:pPr>
            <w:r w:rsidRPr="003E5A38">
              <w:rPr>
                <w:rFonts w:ascii="Comic Sans MS" w:hAnsi="Comic Sans MS" w:cs="Verdana"/>
                <w:sz w:val="20"/>
                <w:szCs w:val="20"/>
                <w:u w:val="single"/>
              </w:rPr>
              <w:t>Secondary &amp; tertiary care</w:t>
            </w:r>
            <w:r w:rsidRPr="003E5A38">
              <w:rPr>
                <w:rFonts w:ascii="Comic Sans MS" w:hAnsi="Comic Sans MS" w:cs="Verdana"/>
                <w:sz w:val="20"/>
                <w:szCs w:val="20"/>
              </w:rPr>
              <w:t>, e.g. specialist medical care</w:t>
            </w:r>
          </w:p>
          <w:p w:rsidR="00E70570" w:rsidRPr="003E5A38" w:rsidRDefault="00E70570" w:rsidP="003E5A38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880" w:hanging="284"/>
              <w:rPr>
                <w:rFonts w:ascii="Comic Sans MS" w:hAnsi="Comic Sans MS" w:cs="Verdana"/>
                <w:sz w:val="20"/>
                <w:szCs w:val="20"/>
              </w:rPr>
            </w:pPr>
            <w:r w:rsidRPr="003E5A38">
              <w:rPr>
                <w:rFonts w:ascii="Comic Sans MS" w:hAnsi="Comic Sans MS" w:cs="Verdana"/>
                <w:sz w:val="20"/>
                <w:szCs w:val="20"/>
                <w:u w:val="single"/>
              </w:rPr>
              <w:t>Allied health professionals</w:t>
            </w:r>
            <w:r w:rsidRPr="003E5A38">
              <w:rPr>
                <w:rFonts w:ascii="Comic Sans MS" w:hAnsi="Comic Sans MS" w:cs="Verdana"/>
                <w:sz w:val="20"/>
                <w:szCs w:val="20"/>
              </w:rPr>
              <w:t>, e.g. physiotherapy, occupational therapy, speech and language therapy, dieticians</w:t>
            </w:r>
          </w:p>
          <w:p w:rsidR="00645031" w:rsidRPr="003E5A38" w:rsidRDefault="00645031" w:rsidP="003E5A3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4" w:hanging="283"/>
              <w:rPr>
                <w:rFonts w:ascii="Comic Sans MS" w:hAnsi="Comic Sans MS" w:cs="Verdana"/>
                <w:sz w:val="20"/>
                <w:szCs w:val="20"/>
              </w:rPr>
            </w:pPr>
            <w:r w:rsidRPr="003E5A38">
              <w:rPr>
                <w:rFonts w:ascii="Comic Sans MS" w:hAnsi="Comic Sans MS" w:cs="Verdana"/>
                <w:b/>
                <w:bCs/>
                <w:sz w:val="20"/>
                <w:szCs w:val="20"/>
              </w:rPr>
              <w:t>Different social care services and how they meet service user needs</w:t>
            </w:r>
          </w:p>
          <w:p w:rsidR="00645031" w:rsidRPr="003E5A38" w:rsidRDefault="00645031" w:rsidP="003E5A38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880" w:hanging="284"/>
              <w:rPr>
                <w:rFonts w:ascii="Comic Sans MS" w:hAnsi="Comic Sans MS" w:cs="Verdana"/>
                <w:sz w:val="20"/>
                <w:szCs w:val="20"/>
              </w:rPr>
            </w:pPr>
            <w:r w:rsidRPr="003E5A38">
              <w:rPr>
                <w:rFonts w:ascii="Comic Sans MS" w:hAnsi="Comic Sans MS" w:cs="Verdana"/>
                <w:sz w:val="20"/>
                <w:szCs w:val="20"/>
                <w:u w:val="single"/>
              </w:rPr>
              <w:t>Services for children and young people</w:t>
            </w:r>
            <w:r w:rsidRPr="003E5A38">
              <w:rPr>
                <w:rFonts w:ascii="Comic Sans MS" w:hAnsi="Comic Sans MS" w:cs="Verdana"/>
                <w:sz w:val="20"/>
                <w:szCs w:val="20"/>
              </w:rPr>
              <w:t>, e.g. foster care, residential care, youth work</w:t>
            </w:r>
          </w:p>
          <w:p w:rsidR="00645031" w:rsidRPr="003E5A38" w:rsidRDefault="00645031" w:rsidP="003E5A38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880" w:hanging="284"/>
              <w:rPr>
                <w:rFonts w:ascii="Comic Sans MS" w:hAnsi="Comic Sans MS" w:cs="Verdana"/>
                <w:sz w:val="20"/>
                <w:szCs w:val="20"/>
              </w:rPr>
            </w:pPr>
            <w:r w:rsidRPr="003E5A38">
              <w:rPr>
                <w:rFonts w:ascii="Comic Sans MS" w:hAnsi="Comic Sans MS" w:cs="Verdana"/>
                <w:sz w:val="20"/>
                <w:szCs w:val="20"/>
                <w:u w:val="single"/>
              </w:rPr>
              <w:t>Services for adults or children with specific needs</w:t>
            </w:r>
            <w:r w:rsidRPr="003E5A38">
              <w:rPr>
                <w:rFonts w:ascii="Comic Sans MS" w:hAnsi="Comic Sans MS" w:cs="Verdana"/>
                <w:sz w:val="20"/>
                <w:szCs w:val="20"/>
              </w:rPr>
              <w:t xml:space="preserve"> (learning disabilities, sensory impairments, long-term health issues) e.g. residential care, respite care, domiciliary care</w:t>
            </w:r>
          </w:p>
          <w:p w:rsidR="00645031" w:rsidRPr="003E5A38" w:rsidRDefault="00645031" w:rsidP="003E5A38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880" w:hanging="284"/>
              <w:rPr>
                <w:rFonts w:ascii="Comic Sans MS" w:hAnsi="Comic Sans MS" w:cs="Verdana"/>
                <w:sz w:val="20"/>
                <w:szCs w:val="20"/>
              </w:rPr>
            </w:pPr>
            <w:r w:rsidRPr="003E5A38">
              <w:rPr>
                <w:rFonts w:ascii="Comic Sans MS" w:hAnsi="Comic Sans MS" w:cs="Verdana"/>
                <w:sz w:val="20"/>
                <w:szCs w:val="20"/>
                <w:u w:val="single"/>
              </w:rPr>
              <w:t>Services for older adults</w:t>
            </w:r>
            <w:r w:rsidRPr="003E5A38">
              <w:rPr>
                <w:rFonts w:ascii="Comic Sans MS" w:hAnsi="Comic Sans MS" w:cs="Verdana"/>
                <w:sz w:val="20"/>
                <w:szCs w:val="20"/>
              </w:rPr>
              <w:t>, e.g. residential care, domiciliary care</w:t>
            </w:r>
          </w:p>
          <w:p w:rsidR="00645031" w:rsidRPr="003E5A38" w:rsidRDefault="00645031" w:rsidP="003E5A38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880" w:hanging="284"/>
              <w:rPr>
                <w:rFonts w:ascii="Comic Sans MS" w:hAnsi="Comic Sans MS" w:cs="Verdana"/>
                <w:sz w:val="20"/>
                <w:szCs w:val="20"/>
              </w:rPr>
            </w:pPr>
            <w:r w:rsidRPr="003E5A38">
              <w:rPr>
                <w:rFonts w:ascii="Comic Sans MS" w:hAnsi="Comic Sans MS" w:cs="Verdana"/>
                <w:sz w:val="20"/>
                <w:szCs w:val="20"/>
                <w:u w:val="single"/>
              </w:rPr>
              <w:t>Role of informal social care provided by relatives</w:t>
            </w:r>
            <w:r w:rsidRPr="003E5A38">
              <w:rPr>
                <w:rFonts w:ascii="Comic Sans MS" w:hAnsi="Comic Sans MS" w:cs="Verdana"/>
                <w:sz w:val="20"/>
                <w:szCs w:val="20"/>
              </w:rPr>
              <w:t>, friends and neighbours</w:t>
            </w:r>
          </w:p>
        </w:tc>
        <w:tc>
          <w:tcPr>
            <w:tcW w:w="6888" w:type="dxa"/>
          </w:tcPr>
          <w:p w:rsidR="00A00105" w:rsidRPr="003E5A38" w:rsidRDefault="00D35505" w:rsidP="00A00105">
            <w:pPr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  <w:r w:rsidRPr="003E5A38"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>Care values</w:t>
            </w:r>
          </w:p>
          <w:p w:rsidR="00A00105" w:rsidRPr="003E5A38" w:rsidRDefault="00D35505" w:rsidP="00D3550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="Comic Sans MS" w:hAnsi="Comic Sans MS" w:cs="Arial"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sz w:val="20"/>
                <w:szCs w:val="20"/>
                <w:u w:val="single"/>
              </w:rPr>
              <w:t>Empowering</w:t>
            </w:r>
            <w:r w:rsidR="00AF0645" w:rsidRPr="003E5A38">
              <w:rPr>
                <w:rFonts w:ascii="Comic Sans MS" w:hAnsi="Comic Sans MS" w:cs="Arial"/>
                <w:sz w:val="20"/>
                <w:szCs w:val="20"/>
              </w:rPr>
              <w:t xml:space="preserve"> and promoting independence by involving individuals, where possible, in making choices</w:t>
            </w:r>
          </w:p>
          <w:p w:rsidR="00AF0645" w:rsidRPr="003E5A38" w:rsidRDefault="00AF0645" w:rsidP="00D3550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="Comic Sans MS" w:hAnsi="Comic Sans MS" w:cs="Arial"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sz w:val="20"/>
                <w:szCs w:val="20"/>
                <w:u w:val="single"/>
              </w:rPr>
              <w:t>Respect</w:t>
            </w:r>
            <w:r w:rsidRPr="003E5A38">
              <w:rPr>
                <w:rFonts w:ascii="Comic Sans MS" w:hAnsi="Comic Sans MS" w:cs="Arial"/>
                <w:sz w:val="20"/>
                <w:szCs w:val="20"/>
              </w:rPr>
              <w:t xml:space="preserve"> for the individual by respecting service users’ need, beliefs and identity</w:t>
            </w:r>
          </w:p>
          <w:p w:rsidR="00AF0645" w:rsidRPr="003E5A38" w:rsidRDefault="00AF0645" w:rsidP="00D3550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="Comic Sans MS" w:hAnsi="Comic Sans MS" w:cs="Arial"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sz w:val="20"/>
                <w:szCs w:val="20"/>
              </w:rPr>
              <w:t xml:space="preserve">Maintaining </w:t>
            </w:r>
            <w:r w:rsidRPr="003E5A38">
              <w:rPr>
                <w:rFonts w:ascii="Comic Sans MS" w:hAnsi="Comic Sans MS" w:cs="Arial"/>
                <w:sz w:val="20"/>
                <w:szCs w:val="20"/>
                <w:u w:val="single"/>
              </w:rPr>
              <w:t>confidentiality</w:t>
            </w:r>
          </w:p>
          <w:p w:rsidR="00AF0645" w:rsidRPr="003E5A38" w:rsidRDefault="00AF0645" w:rsidP="00D3550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="Comic Sans MS" w:hAnsi="Comic Sans MS" w:cs="Arial"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sz w:val="20"/>
                <w:szCs w:val="20"/>
              </w:rPr>
              <w:t xml:space="preserve">Preserving the </w:t>
            </w:r>
            <w:r w:rsidRPr="003E5A38">
              <w:rPr>
                <w:rFonts w:ascii="Comic Sans MS" w:hAnsi="Comic Sans MS" w:cs="Arial"/>
                <w:sz w:val="20"/>
                <w:szCs w:val="20"/>
                <w:u w:val="single"/>
              </w:rPr>
              <w:t xml:space="preserve">dignity </w:t>
            </w:r>
            <w:r w:rsidRPr="003E5A38">
              <w:rPr>
                <w:rFonts w:ascii="Comic Sans MS" w:hAnsi="Comic Sans MS" w:cs="Arial"/>
                <w:sz w:val="20"/>
                <w:szCs w:val="20"/>
              </w:rPr>
              <w:t>of individuals to help them maintain privacy and self-respect</w:t>
            </w:r>
          </w:p>
          <w:p w:rsidR="00AF0645" w:rsidRPr="003E5A38" w:rsidRDefault="00AF0645" w:rsidP="00D3550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="Comic Sans MS" w:hAnsi="Comic Sans MS" w:cs="Arial"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sz w:val="20"/>
                <w:szCs w:val="20"/>
                <w:u w:val="single"/>
              </w:rPr>
              <w:t>Effective communication</w:t>
            </w:r>
            <w:r w:rsidRPr="003E5A38">
              <w:rPr>
                <w:rFonts w:ascii="Comic Sans MS" w:hAnsi="Comic Sans MS" w:cs="Arial"/>
                <w:sz w:val="20"/>
                <w:szCs w:val="20"/>
              </w:rPr>
              <w:t xml:space="preserve"> that displays empathy and warmth</w:t>
            </w:r>
          </w:p>
          <w:p w:rsidR="00AF0645" w:rsidRPr="003E5A38" w:rsidRDefault="003E5A38" w:rsidP="00D3550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="Comic Sans MS" w:hAnsi="Comic Sans MS" w:cs="Arial"/>
                <w:sz w:val="20"/>
                <w:szCs w:val="20"/>
              </w:rPr>
            </w:pPr>
            <w:r w:rsidRPr="003E5A38">
              <w:rPr>
                <w:noProof/>
                <w:sz w:val="20"/>
                <w:szCs w:val="20"/>
                <w:u w:val="single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B2C247F" wp14:editId="1781094F">
                  <wp:simplePos x="0" y="0"/>
                  <wp:positionH relativeFrom="column">
                    <wp:posOffset>1866265</wp:posOffset>
                  </wp:positionH>
                  <wp:positionV relativeFrom="paragraph">
                    <wp:posOffset>177388</wp:posOffset>
                  </wp:positionV>
                  <wp:extent cx="2300605" cy="1388745"/>
                  <wp:effectExtent l="0" t="0" r="4445" b="1905"/>
                  <wp:wrapThrough wrapText="bothSides">
                    <wp:wrapPolygon edited="0">
                      <wp:start x="0" y="0"/>
                      <wp:lineTo x="0" y="21333"/>
                      <wp:lineTo x="21463" y="21333"/>
                      <wp:lineTo x="21463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605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0645" w:rsidRPr="003E5A38">
              <w:rPr>
                <w:rFonts w:ascii="Comic Sans MS" w:hAnsi="Comic Sans MS" w:cs="Arial"/>
                <w:sz w:val="20"/>
                <w:szCs w:val="20"/>
                <w:u w:val="single"/>
              </w:rPr>
              <w:t>Safeguarding</w:t>
            </w:r>
            <w:r w:rsidR="00AF0645" w:rsidRPr="003E5A38">
              <w:rPr>
                <w:rFonts w:ascii="Comic Sans MS" w:hAnsi="Comic Sans MS" w:cs="Arial"/>
                <w:sz w:val="20"/>
                <w:szCs w:val="20"/>
              </w:rPr>
              <w:t xml:space="preserve"> and </w:t>
            </w:r>
            <w:r w:rsidR="00AF0645" w:rsidRPr="003E5A38">
              <w:rPr>
                <w:rFonts w:ascii="Comic Sans MS" w:hAnsi="Comic Sans MS" w:cs="Arial"/>
                <w:sz w:val="20"/>
                <w:szCs w:val="20"/>
                <w:u w:val="single"/>
              </w:rPr>
              <w:t>duty of care</w:t>
            </w:r>
          </w:p>
          <w:p w:rsidR="00AF0645" w:rsidRPr="003E5A38" w:rsidRDefault="00AF0645" w:rsidP="00D3550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="Comic Sans MS" w:hAnsi="Comic Sans MS" w:cs="Arial"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sz w:val="20"/>
                <w:szCs w:val="20"/>
                <w:u w:val="single"/>
              </w:rPr>
              <w:t>Promoting anti-discriminatory</w:t>
            </w:r>
            <w:r w:rsidRPr="003E5A3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3E5A38">
              <w:rPr>
                <w:rFonts w:ascii="Comic Sans MS" w:hAnsi="Comic Sans MS" w:cs="Arial"/>
                <w:sz w:val="20"/>
                <w:szCs w:val="20"/>
                <w:u w:val="single"/>
              </w:rPr>
              <w:t>practice</w:t>
            </w:r>
            <w:r w:rsidRPr="003E5A38">
              <w:rPr>
                <w:rFonts w:ascii="Comic Sans MS" w:hAnsi="Comic Sans MS" w:cs="Arial"/>
                <w:sz w:val="20"/>
                <w:szCs w:val="20"/>
              </w:rPr>
              <w:t xml:space="preserve"> by being aware of types of unfair discrimination and avoiding discriminatory behaviour</w:t>
            </w:r>
          </w:p>
        </w:tc>
      </w:tr>
      <w:tr w:rsidR="005017FB" w:rsidRPr="00577FE4" w:rsidTr="00645031">
        <w:tc>
          <w:tcPr>
            <w:tcW w:w="8500" w:type="dxa"/>
          </w:tcPr>
          <w:p w:rsidR="00EB5ECD" w:rsidRPr="003E5A38" w:rsidRDefault="00645031" w:rsidP="003E5A38">
            <w:pPr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  <w:r w:rsidRPr="003E5A38"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>Barriers to accessing services</w:t>
            </w:r>
          </w:p>
          <w:p w:rsidR="00645031" w:rsidRPr="003E5A38" w:rsidRDefault="00D35505" w:rsidP="00645031">
            <w:pPr>
              <w:pStyle w:val="ListParagraph"/>
              <w:numPr>
                <w:ilvl w:val="0"/>
                <w:numId w:val="8"/>
              </w:numPr>
              <w:ind w:left="454" w:hanging="283"/>
              <w:rPr>
                <w:rFonts w:ascii="Comic Sans MS" w:hAnsi="Comic Sans MS" w:cs="Arial"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b/>
                <w:bCs/>
                <w:sz w:val="20"/>
                <w:szCs w:val="20"/>
              </w:rPr>
              <w:t>Types of barriers and how they can be overcome by the service providers and users</w:t>
            </w:r>
          </w:p>
          <w:p w:rsidR="00D35505" w:rsidRPr="003E5A38" w:rsidRDefault="00D35505" w:rsidP="003E5A38">
            <w:pPr>
              <w:pStyle w:val="ListParagraph"/>
              <w:numPr>
                <w:ilvl w:val="1"/>
                <w:numId w:val="8"/>
              </w:numPr>
              <w:ind w:left="880" w:hanging="284"/>
              <w:rPr>
                <w:rFonts w:ascii="Comic Sans MS" w:hAnsi="Comic Sans MS" w:cs="Arial"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sz w:val="20"/>
                <w:szCs w:val="20"/>
                <w:u w:val="single"/>
              </w:rPr>
              <w:t>Physical barriers</w:t>
            </w:r>
            <w:r w:rsidRPr="003E5A38">
              <w:rPr>
                <w:rFonts w:ascii="Comic Sans MS" w:hAnsi="Comic Sans MS" w:cs="Arial"/>
                <w:sz w:val="20"/>
                <w:szCs w:val="20"/>
              </w:rPr>
              <w:t>, e.g. issues getting into and around the facilities</w:t>
            </w:r>
          </w:p>
          <w:p w:rsidR="00D35505" w:rsidRPr="003E5A38" w:rsidRDefault="00D35505" w:rsidP="003E5A38">
            <w:pPr>
              <w:pStyle w:val="ListParagraph"/>
              <w:numPr>
                <w:ilvl w:val="1"/>
                <w:numId w:val="8"/>
              </w:numPr>
              <w:ind w:left="880" w:hanging="284"/>
              <w:rPr>
                <w:rFonts w:ascii="Comic Sans MS" w:hAnsi="Comic Sans MS" w:cs="Arial"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sz w:val="20"/>
                <w:szCs w:val="20"/>
                <w:u w:val="single"/>
              </w:rPr>
              <w:t>Sensory barriers</w:t>
            </w:r>
            <w:r w:rsidRPr="003E5A38">
              <w:rPr>
                <w:rFonts w:ascii="Comic Sans MS" w:hAnsi="Comic Sans MS" w:cs="Arial"/>
                <w:sz w:val="20"/>
                <w:szCs w:val="20"/>
              </w:rPr>
              <w:t>, e.g. hearing and visual difficulties</w:t>
            </w:r>
          </w:p>
          <w:p w:rsidR="00D35505" w:rsidRPr="003E5A38" w:rsidRDefault="00D35505" w:rsidP="003E5A38">
            <w:pPr>
              <w:pStyle w:val="ListParagraph"/>
              <w:numPr>
                <w:ilvl w:val="1"/>
                <w:numId w:val="8"/>
              </w:numPr>
              <w:ind w:left="880" w:hanging="284"/>
              <w:rPr>
                <w:rFonts w:ascii="Comic Sans MS" w:hAnsi="Comic Sans MS" w:cs="Arial"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sz w:val="20"/>
                <w:szCs w:val="20"/>
                <w:u w:val="single"/>
              </w:rPr>
              <w:t>Social, cultural and psychological barriers</w:t>
            </w:r>
            <w:r w:rsidRPr="003E5A38">
              <w:rPr>
                <w:rFonts w:ascii="Comic Sans MS" w:hAnsi="Comic Sans MS" w:cs="Arial"/>
                <w:sz w:val="20"/>
                <w:szCs w:val="20"/>
              </w:rPr>
              <w:t>, e.g. lack of awareness, differing cultural beliefs, social stigma, fear of loss of independence</w:t>
            </w:r>
          </w:p>
          <w:p w:rsidR="00D35505" w:rsidRPr="003E5A38" w:rsidRDefault="00D35505" w:rsidP="003E5A38">
            <w:pPr>
              <w:pStyle w:val="ListParagraph"/>
              <w:numPr>
                <w:ilvl w:val="1"/>
                <w:numId w:val="8"/>
              </w:numPr>
              <w:ind w:left="880" w:hanging="284"/>
              <w:rPr>
                <w:rFonts w:ascii="Comic Sans MS" w:hAnsi="Comic Sans MS" w:cs="Arial"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sz w:val="20"/>
                <w:szCs w:val="20"/>
                <w:u w:val="single"/>
              </w:rPr>
              <w:t>Language barriers</w:t>
            </w:r>
            <w:r w:rsidRPr="003E5A38">
              <w:rPr>
                <w:rFonts w:ascii="Comic Sans MS" w:hAnsi="Comic Sans MS" w:cs="Arial"/>
                <w:sz w:val="20"/>
                <w:szCs w:val="20"/>
              </w:rPr>
              <w:t>, e.g. differing first language, language impairments</w:t>
            </w:r>
          </w:p>
          <w:p w:rsidR="00D35505" w:rsidRPr="003E5A38" w:rsidRDefault="00D35505" w:rsidP="003E5A38">
            <w:pPr>
              <w:pStyle w:val="ListParagraph"/>
              <w:numPr>
                <w:ilvl w:val="1"/>
                <w:numId w:val="8"/>
              </w:numPr>
              <w:ind w:left="880" w:hanging="284"/>
              <w:rPr>
                <w:rFonts w:ascii="Comic Sans MS" w:hAnsi="Comic Sans MS" w:cs="Arial"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sz w:val="20"/>
                <w:szCs w:val="20"/>
                <w:u w:val="single"/>
              </w:rPr>
              <w:t>Geographical barriers</w:t>
            </w:r>
            <w:r w:rsidRPr="003E5A38">
              <w:rPr>
                <w:rFonts w:ascii="Comic Sans MS" w:hAnsi="Comic Sans MS" w:cs="Arial"/>
                <w:sz w:val="20"/>
                <w:szCs w:val="20"/>
              </w:rPr>
              <w:t>, e.g. distance of provider, poor transport links</w:t>
            </w:r>
          </w:p>
          <w:p w:rsidR="00D35505" w:rsidRPr="003E5A38" w:rsidRDefault="00D35505" w:rsidP="003E5A38">
            <w:pPr>
              <w:pStyle w:val="ListParagraph"/>
              <w:numPr>
                <w:ilvl w:val="1"/>
                <w:numId w:val="8"/>
              </w:numPr>
              <w:ind w:left="880" w:hanging="284"/>
              <w:rPr>
                <w:rFonts w:ascii="Comic Sans MS" w:hAnsi="Comic Sans MS" w:cs="Arial"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sz w:val="20"/>
                <w:szCs w:val="20"/>
                <w:u w:val="single"/>
              </w:rPr>
              <w:t>Intellectual barriers</w:t>
            </w:r>
            <w:r w:rsidRPr="003E5A38">
              <w:rPr>
                <w:rFonts w:ascii="Comic Sans MS" w:hAnsi="Comic Sans MS" w:cs="Arial"/>
                <w:sz w:val="20"/>
                <w:szCs w:val="20"/>
              </w:rPr>
              <w:t>, e.g. learning difficulties</w:t>
            </w:r>
          </w:p>
          <w:p w:rsidR="00D35505" w:rsidRPr="003E5A38" w:rsidRDefault="00D35505" w:rsidP="003E5A38">
            <w:pPr>
              <w:pStyle w:val="ListParagraph"/>
              <w:numPr>
                <w:ilvl w:val="1"/>
                <w:numId w:val="8"/>
              </w:numPr>
              <w:ind w:left="880" w:hanging="284"/>
              <w:rPr>
                <w:rFonts w:ascii="Comic Sans MS" w:hAnsi="Comic Sans MS" w:cs="Arial"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sz w:val="20"/>
                <w:szCs w:val="20"/>
                <w:u w:val="single"/>
              </w:rPr>
              <w:t>Resource barriers for service provider</w:t>
            </w:r>
            <w:r w:rsidRPr="003E5A38">
              <w:rPr>
                <w:rFonts w:ascii="Comic Sans MS" w:hAnsi="Comic Sans MS" w:cs="Arial"/>
                <w:sz w:val="20"/>
                <w:szCs w:val="20"/>
              </w:rPr>
              <w:t>, e.g. staff shortages, lack of local funding, high local demand</w:t>
            </w:r>
          </w:p>
          <w:p w:rsidR="00D35505" w:rsidRPr="003E5A38" w:rsidRDefault="00D35505" w:rsidP="003E5A38">
            <w:pPr>
              <w:pStyle w:val="ListParagraph"/>
              <w:numPr>
                <w:ilvl w:val="1"/>
                <w:numId w:val="8"/>
              </w:numPr>
              <w:ind w:left="880" w:hanging="284"/>
              <w:rPr>
                <w:rFonts w:ascii="Comic Sans MS" w:hAnsi="Comic Sans MS" w:cs="Arial"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sz w:val="20"/>
                <w:szCs w:val="20"/>
                <w:u w:val="single"/>
              </w:rPr>
              <w:t>Financial barriers</w:t>
            </w:r>
            <w:r w:rsidRPr="003E5A38">
              <w:rPr>
                <w:rFonts w:ascii="Comic Sans MS" w:hAnsi="Comic Sans MS" w:cs="Arial"/>
                <w:sz w:val="20"/>
                <w:szCs w:val="20"/>
              </w:rPr>
              <w:t>, e.g. charging for services, cost of transport, loss of income while accessing services</w:t>
            </w:r>
          </w:p>
        </w:tc>
        <w:tc>
          <w:tcPr>
            <w:tcW w:w="6888" w:type="dxa"/>
          </w:tcPr>
          <w:p w:rsidR="005017FB" w:rsidRPr="003E5A38" w:rsidRDefault="00AF0645">
            <w:pPr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3E5A38"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>Reviewing own application of care values</w:t>
            </w:r>
          </w:p>
          <w:p w:rsidR="00EB5ECD" w:rsidRPr="003E5A38" w:rsidRDefault="00AF0645" w:rsidP="00AF0645">
            <w:pPr>
              <w:pStyle w:val="ListParagraph"/>
              <w:numPr>
                <w:ilvl w:val="0"/>
                <w:numId w:val="11"/>
              </w:numPr>
              <w:ind w:left="459" w:hanging="283"/>
              <w:rPr>
                <w:rFonts w:ascii="Comic Sans MS" w:hAnsi="Comic Sans MS" w:cs="Arial"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b/>
                <w:bCs/>
                <w:sz w:val="20"/>
                <w:szCs w:val="20"/>
              </w:rPr>
              <w:t>Key aspects of a review</w:t>
            </w:r>
          </w:p>
          <w:p w:rsidR="00AF0645" w:rsidRPr="003E5A38" w:rsidRDefault="00AF0645" w:rsidP="00AF0645">
            <w:pPr>
              <w:pStyle w:val="ListParagraph"/>
              <w:numPr>
                <w:ilvl w:val="1"/>
                <w:numId w:val="11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sz w:val="20"/>
                <w:szCs w:val="20"/>
              </w:rPr>
              <w:t>Identifying own strengths and areas for improvement against the care values</w:t>
            </w:r>
          </w:p>
          <w:p w:rsidR="00AF0645" w:rsidRPr="003E5A38" w:rsidRDefault="00AF0645" w:rsidP="00AF0645">
            <w:pPr>
              <w:pStyle w:val="ListParagraph"/>
              <w:numPr>
                <w:ilvl w:val="1"/>
                <w:numId w:val="11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sz w:val="20"/>
                <w:szCs w:val="20"/>
              </w:rPr>
              <w:t>Receiving feedback from teacher or service user about own performance</w:t>
            </w:r>
          </w:p>
          <w:p w:rsidR="00AF0645" w:rsidRPr="003E5A38" w:rsidRDefault="00AF0645" w:rsidP="00AF0645">
            <w:pPr>
              <w:pStyle w:val="ListParagraph"/>
              <w:numPr>
                <w:ilvl w:val="1"/>
                <w:numId w:val="11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sz w:val="20"/>
                <w:szCs w:val="20"/>
              </w:rPr>
              <w:t>Responding to feedback and identifying ways to improve own performance</w:t>
            </w:r>
          </w:p>
          <w:p w:rsidR="00EB5ECD" w:rsidRPr="003E5A38" w:rsidRDefault="003E5A38" w:rsidP="00AF0645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943335</wp:posOffset>
                  </wp:positionH>
                  <wp:positionV relativeFrom="paragraph">
                    <wp:posOffset>110335</wp:posOffset>
                  </wp:positionV>
                  <wp:extent cx="2554605" cy="741045"/>
                  <wp:effectExtent l="0" t="0" r="0" b="1905"/>
                  <wp:wrapThrough wrapText="bothSides">
                    <wp:wrapPolygon edited="0">
                      <wp:start x="0" y="0"/>
                      <wp:lineTo x="0" y="21100"/>
                      <wp:lineTo x="21423" y="21100"/>
                      <wp:lineTo x="21423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60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18BE" w:rsidRPr="00577FE4" w:rsidRDefault="000E18BE"/>
    <w:sectPr w:rsidR="000E18BE" w:rsidRPr="00577FE4" w:rsidSect="00577F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BA6"/>
    <w:multiLevelType w:val="hybridMultilevel"/>
    <w:tmpl w:val="C17895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9F3085"/>
    <w:multiLevelType w:val="hybridMultilevel"/>
    <w:tmpl w:val="1578E492"/>
    <w:lvl w:ilvl="0" w:tplc="56126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4766"/>
    <w:multiLevelType w:val="hybridMultilevel"/>
    <w:tmpl w:val="8F7E6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25F7B"/>
    <w:multiLevelType w:val="hybridMultilevel"/>
    <w:tmpl w:val="7098FE76"/>
    <w:lvl w:ilvl="0" w:tplc="46A6B6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2100B"/>
    <w:multiLevelType w:val="hybridMultilevel"/>
    <w:tmpl w:val="E93433BC"/>
    <w:lvl w:ilvl="0" w:tplc="2EF48F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E5061"/>
    <w:multiLevelType w:val="hybridMultilevel"/>
    <w:tmpl w:val="D34CAF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7104C"/>
    <w:multiLevelType w:val="hybridMultilevel"/>
    <w:tmpl w:val="9CE8E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60891"/>
    <w:multiLevelType w:val="hybridMultilevel"/>
    <w:tmpl w:val="6F603EC8"/>
    <w:lvl w:ilvl="0" w:tplc="41221E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1144F"/>
    <w:multiLevelType w:val="hybridMultilevel"/>
    <w:tmpl w:val="AD5AE824"/>
    <w:lvl w:ilvl="0" w:tplc="46A6B6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46E6D"/>
    <w:multiLevelType w:val="hybridMultilevel"/>
    <w:tmpl w:val="83BC3DDC"/>
    <w:lvl w:ilvl="0" w:tplc="8A160B6C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059A0"/>
    <w:multiLevelType w:val="hybridMultilevel"/>
    <w:tmpl w:val="6FE2D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E4"/>
    <w:rsid w:val="000E18BE"/>
    <w:rsid w:val="000E27F2"/>
    <w:rsid w:val="001455B3"/>
    <w:rsid w:val="003E5A38"/>
    <w:rsid w:val="005017FB"/>
    <w:rsid w:val="00577FE4"/>
    <w:rsid w:val="005A15CA"/>
    <w:rsid w:val="005E0542"/>
    <w:rsid w:val="00601707"/>
    <w:rsid w:val="00645031"/>
    <w:rsid w:val="006A24BC"/>
    <w:rsid w:val="00870172"/>
    <w:rsid w:val="009F03E0"/>
    <w:rsid w:val="00A00105"/>
    <w:rsid w:val="00AC21FB"/>
    <w:rsid w:val="00AF0645"/>
    <w:rsid w:val="00B05B30"/>
    <w:rsid w:val="00BF08F5"/>
    <w:rsid w:val="00D35505"/>
    <w:rsid w:val="00E70570"/>
    <w:rsid w:val="00EB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3918A-6DBE-448E-BB1F-74A14718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B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Academy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Baylis</dc:creator>
  <cp:keywords/>
  <dc:description/>
  <cp:lastModifiedBy>Sharon Keigher</cp:lastModifiedBy>
  <cp:revision>2</cp:revision>
  <cp:lastPrinted>2016-11-04T09:48:00Z</cp:lastPrinted>
  <dcterms:created xsi:type="dcterms:W3CDTF">2020-05-21T10:59:00Z</dcterms:created>
  <dcterms:modified xsi:type="dcterms:W3CDTF">2020-05-21T10:59:00Z</dcterms:modified>
</cp:coreProperties>
</file>